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22BC" w14:textId="349DF1EC" w:rsidR="003A7E13" w:rsidRDefault="003A7E13" w:rsidP="00F96D2F">
      <w:pPr>
        <w:jc w:val="center"/>
        <w:rPr>
          <w:rFonts w:ascii="Times New Roman" w:hAnsi="Times New Roman" w:cs="Times New Roman"/>
          <w:b/>
          <w:bCs/>
          <w:sz w:val="24"/>
          <w:szCs w:val="24"/>
        </w:rPr>
      </w:pPr>
    </w:p>
    <w:p w14:paraId="2D75DCEF" w14:textId="77777777" w:rsidR="00F96D2F" w:rsidRDefault="00F96D2F" w:rsidP="00F96D2F">
      <w:pPr>
        <w:shd w:val="clear" w:color="auto" w:fill="FFFFFF"/>
        <w:spacing w:line="240" w:lineRule="auto"/>
        <w:ind w:left="1095"/>
        <w:rPr>
          <w:rFonts w:ascii="Times New Roman" w:hAnsi="Times New Roman" w:cs="Times New Roman"/>
          <w:b/>
          <w:bCs/>
          <w:sz w:val="24"/>
          <w:szCs w:val="24"/>
        </w:rPr>
      </w:pPr>
    </w:p>
    <w:p w14:paraId="4B2DD4E4" w14:textId="77777777" w:rsidR="00D44D3B" w:rsidRPr="00F96D2F" w:rsidRDefault="00D44D3B" w:rsidP="00D44D3B">
      <w:pPr>
        <w:shd w:val="clear" w:color="auto" w:fill="FFFFFF"/>
        <w:spacing w:line="240" w:lineRule="auto"/>
        <w:jc w:val="center"/>
        <w:rPr>
          <w:rFonts w:ascii="Times New Roman" w:eastAsia="Times New Roman" w:hAnsi="Times New Roman" w:cs="Times New Roman"/>
          <w:b/>
          <w:bCs/>
          <w:color w:val="2D3B45"/>
          <w:sz w:val="24"/>
          <w:szCs w:val="24"/>
        </w:rPr>
      </w:pPr>
    </w:p>
    <w:p w14:paraId="4574E8FA" w14:textId="5576AE86" w:rsidR="00F96D2F" w:rsidRDefault="00D44D3B" w:rsidP="00F96D2F">
      <w:pPr>
        <w:jc w:val="center"/>
        <w:rPr>
          <w:rFonts w:ascii="Times New Roman" w:hAnsi="Times New Roman" w:cs="Times New Roman"/>
          <w:b/>
          <w:bCs/>
          <w:sz w:val="24"/>
          <w:szCs w:val="24"/>
        </w:rPr>
      </w:pPr>
      <w:r>
        <w:rPr>
          <w:rFonts w:ascii="Times New Roman" w:hAnsi="Times New Roman" w:cs="Times New Roman"/>
          <w:b/>
          <w:bCs/>
          <w:sz w:val="24"/>
          <w:szCs w:val="24"/>
        </w:rPr>
        <w:t>Legal and Ethical Issues Related to the Older Adult</w:t>
      </w:r>
    </w:p>
    <w:p w14:paraId="70D3B170" w14:textId="5F1F657D" w:rsidR="00F96D2F" w:rsidRDefault="00F96D2F" w:rsidP="00F96D2F">
      <w:pPr>
        <w:jc w:val="center"/>
        <w:rPr>
          <w:rFonts w:ascii="Times New Roman" w:hAnsi="Times New Roman" w:cs="Times New Roman"/>
          <w:sz w:val="24"/>
          <w:szCs w:val="24"/>
        </w:rPr>
      </w:pPr>
    </w:p>
    <w:p w14:paraId="52855529" w14:textId="77777777" w:rsidR="00D44D3B" w:rsidRDefault="00D44D3B" w:rsidP="00F96D2F">
      <w:pPr>
        <w:jc w:val="center"/>
        <w:rPr>
          <w:rFonts w:ascii="Times New Roman" w:hAnsi="Times New Roman" w:cs="Times New Roman"/>
          <w:sz w:val="24"/>
          <w:szCs w:val="24"/>
        </w:rPr>
      </w:pPr>
    </w:p>
    <w:p w14:paraId="4B384FC1" w14:textId="34AD5DFA" w:rsidR="00F96D2F" w:rsidRDefault="00F96D2F" w:rsidP="00F96D2F">
      <w:pPr>
        <w:jc w:val="center"/>
        <w:rPr>
          <w:rFonts w:ascii="Times New Roman" w:hAnsi="Times New Roman" w:cs="Times New Roman"/>
          <w:sz w:val="24"/>
          <w:szCs w:val="24"/>
        </w:rPr>
      </w:pPr>
      <w:r>
        <w:rPr>
          <w:rFonts w:ascii="Times New Roman" w:hAnsi="Times New Roman" w:cs="Times New Roman"/>
          <w:sz w:val="24"/>
          <w:szCs w:val="24"/>
        </w:rPr>
        <w:t>Tonya Buchanan</w:t>
      </w:r>
    </w:p>
    <w:p w14:paraId="79FB0A12" w14:textId="2E48EAE2" w:rsidR="00F96D2F" w:rsidRDefault="00F96D2F" w:rsidP="00F96D2F">
      <w:pPr>
        <w:jc w:val="center"/>
        <w:rPr>
          <w:rFonts w:ascii="Times New Roman" w:hAnsi="Times New Roman" w:cs="Times New Roman"/>
          <w:sz w:val="24"/>
          <w:szCs w:val="24"/>
        </w:rPr>
      </w:pPr>
      <w:r>
        <w:rPr>
          <w:rFonts w:ascii="Times New Roman" w:hAnsi="Times New Roman" w:cs="Times New Roman"/>
          <w:sz w:val="24"/>
          <w:szCs w:val="24"/>
        </w:rPr>
        <w:t>King University</w:t>
      </w:r>
    </w:p>
    <w:p w14:paraId="3E67B765" w14:textId="20864A7C" w:rsidR="00F96D2F" w:rsidRDefault="00F96D2F" w:rsidP="00F96D2F">
      <w:pPr>
        <w:jc w:val="center"/>
        <w:rPr>
          <w:rFonts w:ascii="Times New Roman" w:hAnsi="Times New Roman" w:cs="Times New Roman"/>
          <w:sz w:val="24"/>
          <w:szCs w:val="24"/>
        </w:rPr>
      </w:pPr>
      <w:r>
        <w:rPr>
          <w:rFonts w:ascii="Times New Roman" w:hAnsi="Times New Roman" w:cs="Times New Roman"/>
          <w:sz w:val="24"/>
          <w:szCs w:val="24"/>
        </w:rPr>
        <w:t>NURS5012: Global Awareness</w:t>
      </w:r>
    </w:p>
    <w:p w14:paraId="5AE42DBE" w14:textId="0CB1FD03" w:rsidR="00F96D2F" w:rsidRDefault="00F96D2F" w:rsidP="00F96D2F">
      <w:pPr>
        <w:jc w:val="center"/>
        <w:rPr>
          <w:rFonts w:ascii="Times New Roman" w:hAnsi="Times New Roman" w:cs="Times New Roman"/>
          <w:sz w:val="24"/>
          <w:szCs w:val="24"/>
        </w:rPr>
      </w:pPr>
      <w:r>
        <w:rPr>
          <w:rFonts w:ascii="Times New Roman" w:hAnsi="Times New Roman" w:cs="Times New Roman"/>
          <w:sz w:val="24"/>
          <w:szCs w:val="24"/>
        </w:rPr>
        <w:t>Dr. Amy Knowles</w:t>
      </w:r>
    </w:p>
    <w:p w14:paraId="23441DE1" w14:textId="79F6D82F" w:rsidR="00F96D2F" w:rsidRDefault="00F96D2F" w:rsidP="00F96D2F">
      <w:pPr>
        <w:jc w:val="center"/>
        <w:rPr>
          <w:rFonts w:ascii="Times New Roman" w:hAnsi="Times New Roman" w:cs="Times New Roman"/>
          <w:sz w:val="24"/>
          <w:szCs w:val="24"/>
        </w:rPr>
      </w:pPr>
      <w:r>
        <w:rPr>
          <w:rFonts w:ascii="Times New Roman" w:hAnsi="Times New Roman" w:cs="Times New Roman"/>
          <w:sz w:val="24"/>
          <w:szCs w:val="24"/>
        </w:rPr>
        <w:t>4/3/2022</w:t>
      </w:r>
    </w:p>
    <w:p w14:paraId="0DD078A4" w14:textId="11B0DEE8" w:rsidR="00F96D2F" w:rsidRDefault="00F96D2F" w:rsidP="00F96D2F">
      <w:pPr>
        <w:jc w:val="center"/>
        <w:rPr>
          <w:rFonts w:ascii="Times New Roman" w:hAnsi="Times New Roman" w:cs="Times New Roman"/>
          <w:sz w:val="24"/>
          <w:szCs w:val="24"/>
        </w:rPr>
      </w:pPr>
    </w:p>
    <w:p w14:paraId="49642E04" w14:textId="23463116" w:rsidR="00F96D2F" w:rsidRDefault="00F96D2F" w:rsidP="00F96D2F">
      <w:pPr>
        <w:jc w:val="center"/>
        <w:rPr>
          <w:rFonts w:ascii="Times New Roman" w:hAnsi="Times New Roman" w:cs="Times New Roman"/>
          <w:sz w:val="24"/>
          <w:szCs w:val="24"/>
        </w:rPr>
      </w:pPr>
    </w:p>
    <w:p w14:paraId="56D5E678" w14:textId="66F75C63" w:rsidR="00F96D2F" w:rsidRDefault="00F96D2F" w:rsidP="00F96D2F">
      <w:pPr>
        <w:jc w:val="center"/>
        <w:rPr>
          <w:rFonts w:ascii="Times New Roman" w:hAnsi="Times New Roman" w:cs="Times New Roman"/>
          <w:sz w:val="24"/>
          <w:szCs w:val="24"/>
        </w:rPr>
      </w:pPr>
    </w:p>
    <w:p w14:paraId="3AA03727" w14:textId="2F70B04E" w:rsidR="00F96D2F" w:rsidRDefault="00F96D2F" w:rsidP="00F96D2F">
      <w:pPr>
        <w:jc w:val="center"/>
        <w:rPr>
          <w:rFonts w:ascii="Times New Roman" w:hAnsi="Times New Roman" w:cs="Times New Roman"/>
          <w:sz w:val="24"/>
          <w:szCs w:val="24"/>
        </w:rPr>
      </w:pPr>
    </w:p>
    <w:p w14:paraId="112871B6" w14:textId="579F10A2" w:rsidR="00F96D2F" w:rsidRDefault="00F96D2F" w:rsidP="00F96D2F">
      <w:pPr>
        <w:jc w:val="center"/>
        <w:rPr>
          <w:rFonts w:ascii="Times New Roman" w:hAnsi="Times New Roman" w:cs="Times New Roman"/>
          <w:sz w:val="24"/>
          <w:szCs w:val="24"/>
        </w:rPr>
      </w:pPr>
    </w:p>
    <w:p w14:paraId="6817C58F" w14:textId="05A9D364" w:rsidR="00D44D3B" w:rsidRPr="00F96D2F" w:rsidRDefault="00D44D3B" w:rsidP="00D44D3B">
      <w:pPr>
        <w:shd w:val="clear" w:color="auto" w:fill="FFFFFF"/>
        <w:spacing w:line="240" w:lineRule="auto"/>
        <w:jc w:val="center"/>
        <w:rPr>
          <w:rFonts w:ascii="Times New Roman" w:eastAsia="Times New Roman" w:hAnsi="Times New Roman" w:cs="Times New Roman"/>
          <w:b/>
          <w:bCs/>
          <w:color w:val="2D3B45"/>
          <w:sz w:val="24"/>
          <w:szCs w:val="24"/>
        </w:rPr>
      </w:pPr>
      <w:r>
        <w:rPr>
          <w:rFonts w:ascii="Times New Roman" w:eastAsia="Times New Roman" w:hAnsi="Times New Roman" w:cs="Times New Roman"/>
          <w:b/>
          <w:bCs/>
          <w:color w:val="2D3B45"/>
          <w:sz w:val="24"/>
          <w:szCs w:val="24"/>
        </w:rPr>
        <w:lastRenderedPageBreak/>
        <w:t>Legal and Ethical Issues Related to the Older Adult</w:t>
      </w:r>
    </w:p>
    <w:p w14:paraId="12A917BE" w14:textId="445B6876" w:rsidR="00F96D2F" w:rsidRDefault="00F96D2F" w:rsidP="00D44D3B">
      <w:pPr>
        <w:rPr>
          <w:rFonts w:ascii="Times New Roman" w:hAnsi="Times New Roman" w:cs="Times New Roman"/>
          <w:sz w:val="24"/>
          <w:szCs w:val="24"/>
        </w:rPr>
      </w:pPr>
      <w:r>
        <w:rPr>
          <w:rFonts w:ascii="Times New Roman" w:hAnsi="Times New Roman" w:cs="Times New Roman"/>
          <w:sz w:val="24"/>
          <w:szCs w:val="24"/>
        </w:rPr>
        <w:tab/>
      </w:r>
      <w:r w:rsidR="00D44D3B">
        <w:rPr>
          <w:rFonts w:ascii="Times New Roman" w:hAnsi="Times New Roman" w:cs="Times New Roman"/>
          <w:sz w:val="24"/>
          <w:szCs w:val="24"/>
        </w:rPr>
        <w:t xml:space="preserve">As nursing students, we are all taught that </w:t>
      </w:r>
      <w:r w:rsidR="00083A8E">
        <w:rPr>
          <w:rFonts w:ascii="Times New Roman" w:hAnsi="Times New Roman" w:cs="Times New Roman"/>
          <w:sz w:val="24"/>
          <w:szCs w:val="24"/>
        </w:rPr>
        <w:t xml:space="preserve">elderly patients do require special attention as that demographic are more sensitive to medications, they are often taking multiple medications that can cause adverse interactions, their senses such as vision and hearing become deficient, memory impairment is common (Blitzstein et al., 2022).  When it comes to mental health care for the aging population it is becoming common knowledge that </w:t>
      </w:r>
      <w:r w:rsidR="00D34BB6">
        <w:rPr>
          <w:rFonts w:ascii="Times New Roman" w:hAnsi="Times New Roman" w:cs="Times New Roman"/>
          <w:sz w:val="24"/>
          <w:szCs w:val="24"/>
        </w:rPr>
        <w:t>major depressive disorder is the most common mental health disease to burden them with an already failing system (Blitzstein et al., 2022).  This combination of events along with retirement and loss of spouses and/or children has led to white elderly males having the highest suicide rate over all other ages (Blitzstein et al., 2022).</w:t>
      </w:r>
    </w:p>
    <w:p w14:paraId="01C3422D" w14:textId="57A71BFE" w:rsidR="00D96FF4" w:rsidRDefault="00D96FF4" w:rsidP="00D44D3B">
      <w:pPr>
        <w:rPr>
          <w:rFonts w:ascii="Times New Roman" w:hAnsi="Times New Roman" w:cs="Times New Roman"/>
          <w:sz w:val="24"/>
          <w:szCs w:val="24"/>
        </w:rPr>
      </w:pPr>
      <w:r>
        <w:rPr>
          <w:rFonts w:ascii="Times New Roman" w:hAnsi="Times New Roman" w:cs="Times New Roman"/>
          <w:sz w:val="24"/>
          <w:szCs w:val="24"/>
        </w:rPr>
        <w:tab/>
      </w:r>
      <w:r w:rsidR="00DE7CFD">
        <w:rPr>
          <w:rFonts w:ascii="Times New Roman" w:hAnsi="Times New Roman" w:cs="Times New Roman"/>
          <w:sz w:val="24"/>
          <w:szCs w:val="24"/>
        </w:rPr>
        <w:t xml:space="preserve">The aged community are more at risk of losing their autonomy due to physical and mental health concerns (Dabove, 2017).  Individual rights can become endangered if family believes that a person is not as </w:t>
      </w:r>
      <w:r w:rsidR="00C85DA8">
        <w:rPr>
          <w:rFonts w:ascii="Times New Roman" w:hAnsi="Times New Roman" w:cs="Times New Roman"/>
          <w:sz w:val="24"/>
          <w:szCs w:val="24"/>
        </w:rPr>
        <w:t xml:space="preserve">mentally </w:t>
      </w:r>
      <w:r w:rsidR="00DE7CFD">
        <w:rPr>
          <w:rFonts w:ascii="Times New Roman" w:hAnsi="Times New Roman" w:cs="Times New Roman"/>
          <w:sz w:val="24"/>
          <w:szCs w:val="24"/>
        </w:rPr>
        <w:t xml:space="preserve">sharp or as </w:t>
      </w:r>
      <w:r w:rsidR="00C85DA8">
        <w:rPr>
          <w:rFonts w:ascii="Times New Roman" w:hAnsi="Times New Roman" w:cs="Times New Roman"/>
          <w:sz w:val="24"/>
          <w:szCs w:val="24"/>
        </w:rPr>
        <w:t xml:space="preserve">physically </w:t>
      </w:r>
      <w:r w:rsidR="00DE7CFD">
        <w:rPr>
          <w:rFonts w:ascii="Times New Roman" w:hAnsi="Times New Roman" w:cs="Times New Roman"/>
          <w:sz w:val="24"/>
          <w:szCs w:val="24"/>
        </w:rPr>
        <w:t xml:space="preserve">strong as they once were (Dabove, 2017).  </w:t>
      </w:r>
      <w:r w:rsidR="00700A5C">
        <w:rPr>
          <w:rFonts w:ascii="Times New Roman" w:hAnsi="Times New Roman" w:cs="Times New Roman"/>
          <w:sz w:val="24"/>
          <w:szCs w:val="24"/>
        </w:rPr>
        <w:t xml:space="preserve">Different cultures have differing attitudes on elderly family members and the deficits that they may face (Holtz, 2022).  </w:t>
      </w:r>
      <w:r w:rsidR="000207BE">
        <w:rPr>
          <w:rFonts w:ascii="Times New Roman" w:hAnsi="Times New Roman" w:cs="Times New Roman"/>
          <w:sz w:val="24"/>
          <w:szCs w:val="24"/>
        </w:rPr>
        <w:t>There are studies being performed to determine if the elderly do better in cultures where they are viewed as “</w:t>
      </w:r>
      <w:r w:rsidR="006F143F">
        <w:rPr>
          <w:rFonts w:ascii="Times New Roman" w:hAnsi="Times New Roman" w:cs="Times New Roman"/>
          <w:sz w:val="24"/>
          <w:szCs w:val="24"/>
        </w:rPr>
        <w:t xml:space="preserve">not </w:t>
      </w:r>
      <w:r w:rsidR="000207BE">
        <w:rPr>
          <w:rFonts w:ascii="Times New Roman" w:hAnsi="Times New Roman" w:cs="Times New Roman"/>
          <w:sz w:val="24"/>
          <w:szCs w:val="24"/>
        </w:rPr>
        <w:t xml:space="preserve">worthy” of care due to age versus cultures where the elderly are revered and care is given regardless of age (Holtz, 2022).  </w:t>
      </w:r>
      <w:r w:rsidR="00C85DA8">
        <w:rPr>
          <w:rFonts w:ascii="Times New Roman" w:hAnsi="Times New Roman" w:cs="Times New Roman"/>
          <w:sz w:val="24"/>
          <w:szCs w:val="24"/>
        </w:rPr>
        <w:t xml:space="preserve">If a person is 80, is their ability to have surgery disregarded as a waste of time due to their age and how many more years they </w:t>
      </w:r>
      <w:r w:rsidR="006F143F">
        <w:rPr>
          <w:rFonts w:ascii="Times New Roman" w:hAnsi="Times New Roman" w:cs="Times New Roman"/>
          <w:sz w:val="24"/>
          <w:szCs w:val="24"/>
        </w:rPr>
        <w:t>are thought to have</w:t>
      </w:r>
      <w:r w:rsidR="00C85DA8">
        <w:rPr>
          <w:rFonts w:ascii="Times New Roman" w:hAnsi="Times New Roman" w:cs="Times New Roman"/>
          <w:sz w:val="24"/>
          <w:szCs w:val="24"/>
        </w:rPr>
        <w:t xml:space="preserve"> left to live</w:t>
      </w:r>
      <w:r w:rsidR="00700A5C">
        <w:rPr>
          <w:rFonts w:ascii="Times New Roman" w:hAnsi="Times New Roman" w:cs="Times New Roman"/>
          <w:sz w:val="24"/>
          <w:szCs w:val="24"/>
        </w:rPr>
        <w:t xml:space="preserve"> </w:t>
      </w:r>
      <w:r w:rsidR="00C85DA8">
        <w:rPr>
          <w:rFonts w:ascii="Times New Roman" w:hAnsi="Times New Roman" w:cs="Times New Roman"/>
          <w:sz w:val="24"/>
          <w:szCs w:val="24"/>
        </w:rPr>
        <w:t xml:space="preserve">(Holtz, 2022).  If the person is thought to live another 20 years and make it to 100, would it be worth it to them to have a joint replaced, a tooth repaired, fatty tumor removed.  Who makes the decisions to move forward with procedures or studies and is it considered a violation of a person’s rights to dismiss their care due to their age?  </w:t>
      </w:r>
    </w:p>
    <w:p w14:paraId="2920CCFE" w14:textId="77777777" w:rsidR="00D44D3B" w:rsidRPr="00D44D3B" w:rsidRDefault="00F96D2F" w:rsidP="00D44D3B">
      <w:pPr>
        <w:jc w:val="center"/>
        <w:rPr>
          <w:rFonts w:ascii="Times New Roman" w:hAnsi="Times New Roman" w:cs="Times New Roman"/>
          <w:b/>
          <w:bCs/>
          <w:sz w:val="24"/>
          <w:szCs w:val="24"/>
        </w:rPr>
      </w:pPr>
      <w:r w:rsidRPr="00D44D3B">
        <w:rPr>
          <w:rFonts w:ascii="Times New Roman" w:hAnsi="Times New Roman" w:cs="Times New Roman"/>
          <w:b/>
          <w:bCs/>
          <w:sz w:val="24"/>
          <w:szCs w:val="24"/>
        </w:rPr>
        <w:lastRenderedPageBreak/>
        <w:t>References</w:t>
      </w:r>
    </w:p>
    <w:p w14:paraId="33A5CD1C" w14:textId="77777777" w:rsidR="00DE7CFD" w:rsidRDefault="00D44D3B" w:rsidP="00DE7CFD">
      <w:pPr>
        <w:rPr>
          <w:rFonts w:ascii="Times New Roman" w:hAnsi="Times New Roman" w:cs="Times New Roman"/>
          <w:sz w:val="24"/>
          <w:szCs w:val="24"/>
        </w:rPr>
      </w:pPr>
      <w:r w:rsidRPr="00D44D3B">
        <w:rPr>
          <w:rFonts w:ascii="Times New Roman" w:hAnsi="Times New Roman" w:cs="Times New Roman"/>
          <w:sz w:val="24"/>
          <w:szCs w:val="24"/>
        </w:rPr>
        <w:t xml:space="preserve">Blitzstein, S., Ganti, L., &amp; Kaufman, M. S. (2022). </w:t>
      </w:r>
      <w:r w:rsidRPr="00D44D3B">
        <w:rPr>
          <w:rFonts w:ascii="Times New Roman" w:hAnsi="Times New Roman" w:cs="Times New Roman"/>
          <w:i/>
          <w:iCs/>
          <w:sz w:val="24"/>
          <w:szCs w:val="24"/>
        </w:rPr>
        <w:t>First aid for the psychiatry clerkship</w:t>
      </w:r>
      <w:r w:rsidRPr="00D44D3B">
        <w:rPr>
          <w:rFonts w:ascii="Times New Roman" w:hAnsi="Times New Roman" w:cs="Times New Roman"/>
          <w:sz w:val="24"/>
          <w:szCs w:val="24"/>
        </w:rPr>
        <w:t xml:space="preserve">. </w:t>
      </w:r>
      <w:r w:rsidR="00083A8E">
        <w:rPr>
          <w:rFonts w:ascii="Times New Roman" w:hAnsi="Times New Roman" w:cs="Times New Roman"/>
          <w:sz w:val="24"/>
          <w:szCs w:val="24"/>
        </w:rPr>
        <w:tab/>
      </w:r>
      <w:r w:rsidRPr="00D44D3B">
        <w:rPr>
          <w:rFonts w:ascii="Times New Roman" w:hAnsi="Times New Roman" w:cs="Times New Roman"/>
          <w:sz w:val="24"/>
          <w:szCs w:val="24"/>
        </w:rPr>
        <w:t xml:space="preserve">McGraw Hill. </w:t>
      </w:r>
    </w:p>
    <w:p w14:paraId="3D5A0874" w14:textId="67C331AC" w:rsidR="00DE7CFD" w:rsidRPr="00D44D3B" w:rsidRDefault="00DE7CFD" w:rsidP="00D44D3B">
      <w:pPr>
        <w:rPr>
          <w:rFonts w:ascii="Times New Roman" w:hAnsi="Times New Roman" w:cs="Times New Roman"/>
          <w:sz w:val="24"/>
          <w:szCs w:val="24"/>
        </w:rPr>
      </w:pPr>
      <w:r w:rsidRPr="00DE7CFD">
        <w:rPr>
          <w:rFonts w:ascii="Times New Roman" w:hAnsi="Times New Roman" w:cs="Times New Roman"/>
          <w:sz w:val="24"/>
          <w:szCs w:val="24"/>
        </w:rPr>
        <w:t>Dabove, M. I. (201</w:t>
      </w:r>
      <w:r>
        <w:rPr>
          <w:rFonts w:ascii="Times New Roman" w:hAnsi="Times New Roman" w:cs="Times New Roman"/>
          <w:sz w:val="24"/>
          <w:szCs w:val="24"/>
        </w:rPr>
        <w:t>7</w:t>
      </w:r>
      <w:r w:rsidRPr="00DE7CFD">
        <w:rPr>
          <w:rFonts w:ascii="Times New Roman" w:hAnsi="Times New Roman" w:cs="Times New Roman"/>
          <w:sz w:val="24"/>
          <w:szCs w:val="24"/>
        </w:rPr>
        <w:t xml:space="preserve">). Autonomy and capacity: About human rights of older persons in </w:t>
      </w:r>
      <w:r>
        <w:rPr>
          <w:rFonts w:ascii="Times New Roman" w:hAnsi="Times New Roman" w:cs="Times New Roman"/>
          <w:sz w:val="24"/>
          <w:szCs w:val="24"/>
        </w:rPr>
        <w:tab/>
      </w:r>
      <w:r w:rsidRPr="00DE7CFD">
        <w:rPr>
          <w:rFonts w:ascii="Times New Roman" w:hAnsi="Times New Roman" w:cs="Times New Roman"/>
          <w:sz w:val="24"/>
          <w:szCs w:val="24"/>
        </w:rPr>
        <w:t xml:space="preserve">dependency situations. </w:t>
      </w:r>
      <w:r w:rsidRPr="00DE7CFD">
        <w:rPr>
          <w:rFonts w:ascii="Times New Roman" w:hAnsi="Times New Roman" w:cs="Times New Roman"/>
          <w:i/>
          <w:iCs/>
          <w:sz w:val="24"/>
          <w:szCs w:val="24"/>
        </w:rPr>
        <w:t>Ageing International</w:t>
      </w:r>
      <w:r w:rsidRPr="00DE7CFD">
        <w:rPr>
          <w:rFonts w:ascii="Times New Roman" w:hAnsi="Times New Roman" w:cs="Times New Roman"/>
          <w:sz w:val="24"/>
          <w:szCs w:val="24"/>
        </w:rPr>
        <w:t xml:space="preserve">, </w:t>
      </w:r>
      <w:r w:rsidRPr="00DE7CFD">
        <w:rPr>
          <w:rFonts w:ascii="Times New Roman" w:hAnsi="Times New Roman" w:cs="Times New Roman"/>
          <w:i/>
          <w:iCs/>
          <w:sz w:val="24"/>
          <w:szCs w:val="24"/>
        </w:rPr>
        <w:t>42</w:t>
      </w:r>
      <w:r w:rsidRPr="00DE7CFD">
        <w:rPr>
          <w:rFonts w:ascii="Times New Roman" w:hAnsi="Times New Roman" w:cs="Times New Roman"/>
          <w:sz w:val="24"/>
          <w:szCs w:val="24"/>
        </w:rPr>
        <w:t>(3), 335–353.</w:t>
      </w:r>
    </w:p>
    <w:p w14:paraId="0E538AAA" w14:textId="0D976669" w:rsidR="00D44D3B" w:rsidRPr="00D44D3B" w:rsidRDefault="00D44D3B" w:rsidP="00D44D3B">
      <w:pPr>
        <w:pStyle w:val="NormalWeb"/>
        <w:ind w:left="567" w:hanging="567"/>
      </w:pPr>
      <w:r w:rsidRPr="00D44D3B">
        <w:t xml:space="preserve">Holtz, C. (2022). </w:t>
      </w:r>
      <w:r w:rsidRPr="00D44D3B">
        <w:rPr>
          <w:i/>
          <w:iCs/>
        </w:rPr>
        <w:t xml:space="preserve">Global </w:t>
      </w:r>
      <w:r w:rsidRPr="00D44D3B">
        <w:rPr>
          <w:i/>
          <w:iCs/>
        </w:rPr>
        <w:t>h</w:t>
      </w:r>
      <w:r w:rsidRPr="00D44D3B">
        <w:rPr>
          <w:i/>
          <w:iCs/>
        </w:rPr>
        <w:t xml:space="preserve">ealth </w:t>
      </w:r>
      <w:r w:rsidRPr="00D44D3B">
        <w:rPr>
          <w:i/>
          <w:iCs/>
        </w:rPr>
        <w:t>care: issues</w:t>
      </w:r>
      <w:r w:rsidRPr="00D44D3B">
        <w:rPr>
          <w:i/>
          <w:iCs/>
        </w:rPr>
        <w:t xml:space="preserve"> and policies</w:t>
      </w:r>
      <w:r w:rsidRPr="00D44D3B">
        <w:t xml:space="preserve">. Jones &amp; Bartlett Learning. </w:t>
      </w:r>
    </w:p>
    <w:p w14:paraId="4B3C8036" w14:textId="77777777" w:rsidR="00F96D2F" w:rsidRPr="00F96D2F" w:rsidRDefault="00F96D2F" w:rsidP="00F96D2F">
      <w:pPr>
        <w:rPr>
          <w:rFonts w:ascii="Times New Roman" w:hAnsi="Times New Roman" w:cs="Times New Roman"/>
          <w:sz w:val="24"/>
          <w:szCs w:val="24"/>
        </w:rPr>
      </w:pPr>
    </w:p>
    <w:sectPr w:rsidR="00F96D2F" w:rsidRPr="00F96D2F" w:rsidSect="00F96D2F">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4BAEF" w14:textId="77777777" w:rsidR="008001CA" w:rsidRDefault="008001CA" w:rsidP="00F96D2F">
      <w:pPr>
        <w:spacing w:before="0" w:after="0" w:line="240" w:lineRule="auto"/>
      </w:pPr>
      <w:r>
        <w:separator/>
      </w:r>
    </w:p>
  </w:endnote>
  <w:endnote w:type="continuationSeparator" w:id="0">
    <w:p w14:paraId="7EA0E6E0" w14:textId="77777777" w:rsidR="008001CA" w:rsidRDefault="008001CA" w:rsidP="00F96D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6E40A" w14:textId="77777777" w:rsidR="008001CA" w:rsidRDefault="008001CA" w:rsidP="00F96D2F">
      <w:pPr>
        <w:spacing w:before="0" w:after="0" w:line="240" w:lineRule="auto"/>
      </w:pPr>
      <w:r>
        <w:separator/>
      </w:r>
    </w:p>
  </w:footnote>
  <w:footnote w:type="continuationSeparator" w:id="0">
    <w:p w14:paraId="14C8EA6B" w14:textId="77777777" w:rsidR="008001CA" w:rsidRDefault="008001CA" w:rsidP="00F96D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676498"/>
      <w:docPartObj>
        <w:docPartGallery w:val="Page Numbers (Top of Page)"/>
        <w:docPartUnique/>
      </w:docPartObj>
    </w:sdtPr>
    <w:sdtEndPr>
      <w:rPr>
        <w:noProof/>
      </w:rPr>
    </w:sdtEndPr>
    <w:sdtContent>
      <w:p w14:paraId="40432A2C" w14:textId="3458FBFB" w:rsidR="00F96D2F" w:rsidRDefault="00F96D2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CEEAA0" w14:textId="77777777" w:rsidR="00F96D2F" w:rsidRDefault="00F96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BF8"/>
    <w:multiLevelType w:val="multilevel"/>
    <w:tmpl w:val="906859F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2F"/>
    <w:rsid w:val="000207BE"/>
    <w:rsid w:val="00083A8E"/>
    <w:rsid w:val="003A7E13"/>
    <w:rsid w:val="00402A34"/>
    <w:rsid w:val="006820EE"/>
    <w:rsid w:val="006F143F"/>
    <w:rsid w:val="00700A5C"/>
    <w:rsid w:val="008001CA"/>
    <w:rsid w:val="00C85DA8"/>
    <w:rsid w:val="00D34BB6"/>
    <w:rsid w:val="00D44D3B"/>
    <w:rsid w:val="00D96FF4"/>
    <w:rsid w:val="00DE7CFD"/>
    <w:rsid w:val="00F9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8AA8"/>
  <w15:chartTrackingRefBased/>
  <w15:docId w15:val="{8CF67BF7-DCBC-4D41-B8E3-EBF4564B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D2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96D2F"/>
  </w:style>
  <w:style w:type="paragraph" w:styleId="Footer">
    <w:name w:val="footer"/>
    <w:basedOn w:val="Normal"/>
    <w:link w:val="FooterChar"/>
    <w:uiPriority w:val="99"/>
    <w:unhideWhenUsed/>
    <w:rsid w:val="00F96D2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96D2F"/>
  </w:style>
  <w:style w:type="paragraph" w:styleId="NormalWeb">
    <w:name w:val="Normal (Web)"/>
    <w:basedOn w:val="Normal"/>
    <w:uiPriority w:val="99"/>
    <w:semiHidden/>
    <w:unhideWhenUsed/>
    <w:rsid w:val="00D44D3B"/>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7475">
      <w:bodyDiv w:val="1"/>
      <w:marLeft w:val="0"/>
      <w:marRight w:val="0"/>
      <w:marTop w:val="0"/>
      <w:marBottom w:val="0"/>
      <w:divBdr>
        <w:top w:val="none" w:sz="0" w:space="0" w:color="auto"/>
        <w:left w:val="none" w:sz="0" w:space="0" w:color="auto"/>
        <w:bottom w:val="none" w:sz="0" w:space="0" w:color="auto"/>
        <w:right w:val="none" w:sz="0" w:space="0" w:color="auto"/>
      </w:divBdr>
    </w:div>
    <w:div w:id="253393546">
      <w:bodyDiv w:val="1"/>
      <w:marLeft w:val="0"/>
      <w:marRight w:val="0"/>
      <w:marTop w:val="0"/>
      <w:marBottom w:val="0"/>
      <w:divBdr>
        <w:top w:val="none" w:sz="0" w:space="0" w:color="auto"/>
        <w:left w:val="none" w:sz="0" w:space="0" w:color="auto"/>
        <w:bottom w:val="none" w:sz="0" w:space="0" w:color="auto"/>
        <w:right w:val="none" w:sz="0" w:space="0" w:color="auto"/>
      </w:divBdr>
    </w:div>
    <w:div w:id="866480528">
      <w:bodyDiv w:val="1"/>
      <w:marLeft w:val="0"/>
      <w:marRight w:val="0"/>
      <w:marTop w:val="0"/>
      <w:marBottom w:val="0"/>
      <w:divBdr>
        <w:top w:val="none" w:sz="0" w:space="0" w:color="auto"/>
        <w:left w:val="none" w:sz="0" w:space="0" w:color="auto"/>
        <w:bottom w:val="none" w:sz="0" w:space="0" w:color="auto"/>
        <w:right w:val="none" w:sz="0" w:space="0" w:color="auto"/>
      </w:divBdr>
    </w:div>
    <w:div w:id="162878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1457</TotalTime>
  <Pages>3</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Buchanan</dc:creator>
  <cp:keywords/>
  <dc:description/>
  <cp:lastModifiedBy>Tonya Buchanan</cp:lastModifiedBy>
  <cp:revision>2</cp:revision>
  <dcterms:created xsi:type="dcterms:W3CDTF">2022-04-03T14:14:00Z</dcterms:created>
  <dcterms:modified xsi:type="dcterms:W3CDTF">2022-04-06T21:42:00Z</dcterms:modified>
</cp:coreProperties>
</file>